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C5" w:rsidRPr="00EA1E90" w:rsidRDefault="000812C5" w:rsidP="000812C5">
      <w:pPr>
        <w:spacing w:after="120" w:line="257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 xml:space="preserve">Tomáš </w:t>
      </w:r>
      <w:proofErr w:type="spellStart"/>
      <w:r>
        <w:rPr>
          <w:rFonts w:ascii="Arial" w:hAnsi="Arial"/>
          <w:b/>
          <w:sz w:val="32"/>
        </w:rPr>
        <w:t>Baťa</w:t>
      </w:r>
      <w:proofErr w:type="spellEnd"/>
      <w:r>
        <w:rPr>
          <w:rFonts w:ascii="Arial" w:hAnsi="Arial"/>
          <w:b/>
          <w:sz w:val="32"/>
        </w:rPr>
        <w:t xml:space="preserve"> Memorial</w:t>
      </w:r>
    </w:p>
    <w:p w:rsidR="000812C5" w:rsidRPr="00EA1E90" w:rsidRDefault="000812C5" w:rsidP="000812C5">
      <w:pPr>
        <w:spacing w:after="120" w:line="257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/>
          <w:b/>
          <w:sz w:val="32"/>
        </w:rPr>
        <w:t>ENTRY &amp; RENTAL PRICES</w:t>
      </w:r>
    </w:p>
    <w:bookmarkEnd w:id="0"/>
    <w:p w:rsidR="00EA1E90" w:rsidRPr="00EA1E90" w:rsidRDefault="000812C5" w:rsidP="000812C5">
      <w:pPr>
        <w:spacing w:after="120" w:line="257" w:lineRule="auto"/>
        <w:jc w:val="center"/>
        <w:rPr>
          <w:rFonts w:ascii="Arial" w:hAnsi="Arial" w:cs="Arial"/>
          <w:b/>
          <w:sz w:val="10"/>
          <w:szCs w:val="10"/>
        </w:rPr>
      </w:pPr>
      <w:proofErr w:type="gramStart"/>
      <w:r>
        <w:rPr>
          <w:rFonts w:ascii="Arial" w:hAnsi="Arial"/>
          <w:b/>
          <w:sz w:val="24"/>
        </w:rPr>
        <w:t>valid</w:t>
      </w:r>
      <w:proofErr w:type="gramEnd"/>
      <w:r>
        <w:rPr>
          <w:rFonts w:ascii="Arial" w:hAnsi="Arial"/>
          <w:b/>
          <w:sz w:val="24"/>
        </w:rPr>
        <w:t xml:space="preserve"> from 1 November 2023</w:t>
      </w:r>
      <w:r>
        <w:rPr>
          <w:rFonts w:ascii="Arial" w:hAnsi="Arial"/>
          <w:b/>
          <w:sz w:val="24"/>
        </w:rPr>
        <w:br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47"/>
        <w:gridCol w:w="1117"/>
      </w:tblGrid>
      <w:tr w:rsidR="000812C5" w:rsidRPr="00EA1E90" w:rsidTr="00A07704">
        <w:trPr>
          <w:trHeight w:val="284"/>
          <w:jc w:val="center"/>
        </w:trPr>
        <w:tc>
          <w:tcPr>
            <w:tcW w:w="7347" w:type="dxa"/>
            <w:vAlign w:val="center"/>
          </w:tcPr>
          <w:p w:rsidR="000812C5" w:rsidRPr="00EA1E90" w:rsidRDefault="00EA1E90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sz w:val="20"/>
              </w:rPr>
              <w:t>Basic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149</w:t>
            </w:r>
          </w:p>
        </w:tc>
      </w:tr>
      <w:tr w:rsidR="000812C5" w:rsidRPr="00EA1E90" w:rsidTr="00A07704">
        <w:trPr>
          <w:trHeight w:val="1183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Reduced: </w:t>
            </w:r>
          </w:p>
          <w:p w:rsidR="000812C5" w:rsidRPr="00EA1E90" w:rsidRDefault="000812C5" w:rsidP="008148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children aged 7 and up ISIC, GO25 (IYTC card), ZTP and ZTP/P (Czech disability cards), ICOM, Czech Association of Museums and Galleries, </w:t>
            </w:r>
            <w:proofErr w:type="spellStart"/>
            <w:r>
              <w:rPr>
                <w:rFonts w:ascii="Arial" w:hAnsi="Arial"/>
                <w:sz w:val="20"/>
              </w:rPr>
              <w:t>Rodinný</w:t>
            </w:r>
            <w:proofErr w:type="spellEnd"/>
            <w:r>
              <w:rPr>
                <w:rFonts w:ascii="Arial" w:hAnsi="Arial"/>
                <w:sz w:val="20"/>
              </w:rPr>
              <w:t xml:space="preserve"> pas (Family Pass), Senior Pas (Senior Pass), ZTP escort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99</w:t>
            </w:r>
          </w:p>
        </w:tc>
      </w:tr>
      <w:tr w:rsidR="000812C5" w:rsidRPr="00EA1E90" w:rsidTr="00A07704">
        <w:trPr>
          <w:trHeight w:val="284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Family: Two adults and two children aged 15 and under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299</w:t>
            </w:r>
          </w:p>
        </w:tc>
      </w:tr>
      <w:tr w:rsidR="000812C5" w:rsidRPr="00EA1E90" w:rsidTr="00A07704">
        <w:trPr>
          <w:trHeight w:val="284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Children aged 6 and under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284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Educational programmes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99</w:t>
            </w:r>
          </w:p>
        </w:tc>
      </w:tr>
      <w:tr w:rsidR="000812C5" w:rsidRPr="00EA1E90" w:rsidTr="00A07704">
        <w:trPr>
          <w:trHeight w:val="284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Group discount for groups of 15 people and up 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10%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47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Minimum fee for individually arranged group tours (tours in which the Memorial </w:t>
            </w:r>
            <w:proofErr w:type="gramStart"/>
            <w:r>
              <w:rPr>
                <w:rFonts w:ascii="Arial" w:hAnsi="Arial"/>
                <w:sz w:val="20"/>
              </w:rPr>
              <w:t>is closed</w:t>
            </w:r>
            <w:proofErr w:type="gramEnd"/>
            <w:r>
              <w:rPr>
                <w:rFonts w:ascii="Arial" w:hAnsi="Arial"/>
                <w:sz w:val="20"/>
              </w:rPr>
              <w:t xml:space="preserve"> to the public and tours taking place outside the standard operating hours) </w:t>
            </w:r>
            <w:r>
              <w:rPr>
                <w:rFonts w:ascii="Arial" w:hAnsi="Arial"/>
                <w:sz w:val="20"/>
              </w:rPr>
              <w:br/>
              <w:t xml:space="preserve">The 10% group discount does not additionally apply to these tours. </w:t>
            </w:r>
          </w:p>
        </w:tc>
        <w:tc>
          <w:tcPr>
            <w:tcW w:w="0" w:type="auto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1490</w:t>
            </w:r>
          </w:p>
        </w:tc>
      </w:tr>
    </w:tbl>
    <w:p w:rsidR="000812C5" w:rsidRPr="00EA1E90" w:rsidRDefault="000812C5" w:rsidP="000812C5">
      <w:pPr>
        <w:rPr>
          <w:rFonts w:ascii="Arial" w:hAnsi="Arial" w:cs="Arial"/>
          <w:sz w:val="20"/>
          <w:szCs w:val="20"/>
        </w:rPr>
      </w:pPr>
    </w:p>
    <w:p w:rsidR="000812C5" w:rsidRPr="00EA1E90" w:rsidRDefault="000812C5" w:rsidP="000812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Special days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1071"/>
      </w:tblGrid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3 April (Tomáš </w:t>
            </w:r>
            <w:proofErr w:type="spellStart"/>
            <w:r>
              <w:rPr>
                <w:rFonts w:ascii="Arial" w:hAnsi="Arial"/>
                <w:sz w:val="20"/>
              </w:rPr>
              <w:t>Baťa’s</w:t>
            </w:r>
            <w:proofErr w:type="spellEnd"/>
            <w:r>
              <w:rPr>
                <w:rFonts w:ascii="Arial" w:hAnsi="Arial"/>
                <w:sz w:val="20"/>
              </w:rPr>
              <w:t xml:space="preserve"> birthday)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1 May (traditional </w:t>
            </w:r>
            <w:proofErr w:type="spellStart"/>
            <w:r>
              <w:rPr>
                <w:rFonts w:ascii="Arial" w:hAnsi="Arial"/>
                <w:sz w:val="20"/>
              </w:rPr>
              <w:t>Baťa</w:t>
            </w:r>
            <w:proofErr w:type="spellEnd"/>
            <w:r>
              <w:rPr>
                <w:rFonts w:ascii="Arial" w:hAnsi="Arial"/>
                <w:sz w:val="20"/>
              </w:rPr>
              <w:t xml:space="preserve"> holiday)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Galleries and Museums Night (variable date, usually in May)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EA1E90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12 July (anniversary of the death of Tomáš </w:t>
            </w:r>
            <w:proofErr w:type="spellStart"/>
            <w:r>
              <w:rPr>
                <w:rFonts w:ascii="Arial" w:hAnsi="Arial"/>
                <w:sz w:val="20"/>
              </w:rPr>
              <w:t>Baťa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Architecture Day (variable date, usually in late September / early October)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731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European Heritage Days (variable date, typically in September)</w:t>
            </w:r>
          </w:p>
        </w:tc>
        <w:tc>
          <w:tcPr>
            <w:tcW w:w="1071" w:type="dxa"/>
            <w:vAlign w:val="center"/>
          </w:tcPr>
          <w:p w:rsidR="000812C5" w:rsidRPr="00EA1E90" w:rsidRDefault="000812C5" w:rsidP="00A07704">
            <w:pPr>
              <w:spacing w:before="60" w:after="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</w:tbl>
    <w:p w:rsidR="00EA1E90" w:rsidRDefault="00EA1E90" w:rsidP="000812C5">
      <w:pPr>
        <w:spacing w:before="240"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0812C5" w:rsidRPr="00EA1E90" w:rsidRDefault="000812C5" w:rsidP="000812C5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hd w:val="clear" w:color="auto" w:fill="FFFFFF"/>
        </w:rPr>
        <w:t xml:space="preserve">These entrance prices only apply for tours of the Tomáš </w:t>
      </w:r>
      <w:proofErr w:type="spellStart"/>
      <w:r>
        <w:rPr>
          <w:rFonts w:ascii="Arial" w:hAnsi="Arial"/>
          <w:color w:val="000000"/>
          <w:sz w:val="20"/>
          <w:shd w:val="clear" w:color="auto" w:fill="FFFFFF"/>
        </w:rPr>
        <w:t>Baťa</w:t>
      </w:r>
      <w:proofErr w:type="spellEnd"/>
      <w:r>
        <w:rPr>
          <w:rFonts w:ascii="Arial" w:hAnsi="Arial"/>
          <w:color w:val="000000"/>
          <w:sz w:val="20"/>
          <w:shd w:val="clear" w:color="auto" w:fill="FFFFFF"/>
        </w:rPr>
        <w:t xml:space="preserve"> Memorial. </w:t>
      </w:r>
      <w:r>
        <w:rPr>
          <w:rFonts w:ascii="Arial" w:hAnsi="Arial"/>
          <w:color w:val="000000"/>
          <w:sz w:val="20"/>
          <w:shd w:val="clear" w:color="auto" w:fill="FFFFFF"/>
        </w:rPr>
        <w:br/>
        <w:t xml:space="preserve">Entry fees for events taking place within the Memorial and its Info Point that </w:t>
      </w:r>
      <w:proofErr w:type="gramStart"/>
      <w:r>
        <w:rPr>
          <w:rFonts w:ascii="Arial" w:hAnsi="Arial"/>
          <w:color w:val="000000"/>
          <w:sz w:val="20"/>
          <w:shd w:val="clear" w:color="auto" w:fill="FFFFFF"/>
        </w:rPr>
        <w:t>are organized</w:t>
      </w:r>
      <w:proofErr w:type="gramEnd"/>
      <w:r>
        <w:rPr>
          <w:rFonts w:ascii="Arial" w:hAnsi="Arial"/>
          <w:color w:val="000000"/>
          <w:sz w:val="20"/>
          <w:shd w:val="clear" w:color="auto" w:fill="FFFFFF"/>
        </w:rPr>
        <w:t xml:space="preserve"> by the City of Zlín are set individually.</w:t>
      </w:r>
    </w:p>
    <w:p w:rsidR="000812C5" w:rsidRPr="00EA1E90" w:rsidRDefault="000812C5" w:rsidP="000812C5">
      <w:pPr>
        <w:spacing w:after="120" w:line="257" w:lineRule="auto"/>
        <w:jc w:val="center"/>
        <w:rPr>
          <w:rFonts w:ascii="Arial" w:hAnsi="Arial" w:cs="Arial"/>
          <w:b/>
          <w:sz w:val="20"/>
          <w:szCs w:val="20"/>
        </w:rPr>
      </w:pPr>
    </w:p>
    <w:p w:rsidR="005B54E3" w:rsidRDefault="005B54E3" w:rsidP="00EA1E90">
      <w:pPr>
        <w:spacing w:line="240" w:lineRule="auto"/>
        <w:jc w:val="center"/>
        <w:rPr>
          <w:rFonts w:ascii="Arial" w:hAnsi="Arial"/>
          <w:b/>
          <w:sz w:val="24"/>
        </w:rPr>
      </w:pPr>
    </w:p>
    <w:p w:rsidR="005B54E3" w:rsidRDefault="005B54E3" w:rsidP="00EA1E90">
      <w:pPr>
        <w:spacing w:line="240" w:lineRule="auto"/>
        <w:jc w:val="center"/>
        <w:rPr>
          <w:rFonts w:ascii="Arial" w:hAnsi="Arial"/>
          <w:b/>
          <w:sz w:val="24"/>
        </w:rPr>
      </w:pPr>
    </w:p>
    <w:p w:rsidR="000812C5" w:rsidRPr="00EA1E90" w:rsidRDefault="000812C5" w:rsidP="00EA1E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VENUE RENTAL PRICES</w:t>
      </w:r>
    </w:p>
    <w:p w:rsidR="000812C5" w:rsidRPr="00EA1E90" w:rsidRDefault="000812C5" w:rsidP="00EA1E9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</w:rPr>
        <w:t>valid</w:t>
      </w:r>
      <w:proofErr w:type="gramEnd"/>
      <w:r>
        <w:rPr>
          <w:rFonts w:ascii="Arial" w:hAnsi="Arial"/>
          <w:b/>
          <w:sz w:val="24"/>
        </w:rPr>
        <w:t xml:space="preserve"> from 1 November 2023</w:t>
      </w:r>
    </w:p>
    <w:p w:rsidR="000812C5" w:rsidRPr="00EA1E90" w:rsidRDefault="000812C5" w:rsidP="000812C5">
      <w:pPr>
        <w:spacing w:after="120" w:line="257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4753"/>
      </w:tblGrid>
      <w:tr w:rsidR="000812C5" w:rsidRPr="00EA1E90" w:rsidTr="00A07704">
        <w:trPr>
          <w:trHeight w:val="340"/>
          <w:jc w:val="center"/>
        </w:trPr>
        <w:tc>
          <w:tcPr>
            <w:tcW w:w="8659" w:type="dxa"/>
            <w:gridSpan w:val="2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Commercial events, photo sessions for promotional purposes, filming sessions, weddings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Memorial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5000 / h</w:t>
            </w:r>
            <w:r>
              <w:rPr>
                <w:rFonts w:ascii="Arial" w:hAnsi="Arial"/>
                <w:sz w:val="20"/>
              </w:rPr>
              <w:br/>
              <w:t>(any partially completed hour is charged as a full hour, i.e. +CZK 5000)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Info Point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3000 / h</w:t>
            </w:r>
            <w:r>
              <w:rPr>
                <w:rFonts w:ascii="Arial" w:hAnsi="Arial"/>
                <w:sz w:val="20"/>
              </w:rPr>
              <w:br/>
              <w:t>(any partially completed hour is charged as a full hour, i.e. +CZK 3000)</w:t>
            </w:r>
          </w:p>
        </w:tc>
      </w:tr>
      <w:tr w:rsidR="000812C5" w:rsidRPr="00EA1E90" w:rsidTr="00A07704">
        <w:trPr>
          <w:trHeight w:val="737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Additional fee for rentals from 6 PM onwards (only applied to the portion of the rental that is after 6 PM)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50% </w:t>
            </w:r>
          </w:p>
        </w:tc>
      </w:tr>
      <w:tr w:rsidR="000812C5" w:rsidRPr="00EA1E90" w:rsidTr="00A07704">
        <w:trPr>
          <w:trHeight w:val="340"/>
          <w:jc w:val="center"/>
        </w:trPr>
        <w:tc>
          <w:tcPr>
            <w:tcW w:w="8659" w:type="dxa"/>
            <w:gridSpan w:val="2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Student projects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Memorial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500 / h</w:t>
            </w:r>
            <w:r>
              <w:rPr>
                <w:rFonts w:ascii="Arial" w:hAnsi="Arial"/>
                <w:sz w:val="20"/>
              </w:rPr>
              <w:br/>
              <w:t>(any partially completed hour is charged as a full hour, i.e. +CZK 500)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Info Point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CZK 300 / h</w:t>
            </w:r>
            <w:r>
              <w:rPr>
                <w:rFonts w:ascii="Arial" w:hAnsi="Arial"/>
                <w:sz w:val="20"/>
              </w:rPr>
              <w:br/>
              <w:t>(any partially completed hour is charged as a full hour, i.e. +CZK 300)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Additional fee for rentals from 6 PM onwards (only applied to the portion of the rental that is after 6 PM)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50%</w:t>
            </w:r>
          </w:p>
        </w:tc>
      </w:tr>
      <w:tr w:rsidR="000812C5" w:rsidRPr="00EA1E90" w:rsidTr="00A07704">
        <w:trPr>
          <w:trHeight w:val="454"/>
          <w:jc w:val="center"/>
        </w:trPr>
        <w:tc>
          <w:tcPr>
            <w:tcW w:w="8659" w:type="dxa"/>
            <w:gridSpan w:val="2"/>
            <w:vAlign w:val="center"/>
          </w:tcPr>
          <w:p w:rsidR="000812C5" w:rsidRPr="00EA1E90" w:rsidRDefault="000812C5" w:rsidP="00A07704">
            <w:pPr>
              <w:pStyle w:val="Odstavecseseznamem"/>
              <w:spacing w:before="120" w:after="12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Cancellation conditions</w:t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sz w:val="20"/>
              </w:rPr>
              <w:t>(If not agreed otherwise)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Over 29 days before the start of the event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 charge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28–14 days before the start of the event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Charge in the amount of 20%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13–8 days before the start of the event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Charge in the amount of 40%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7–2 days before the start of the event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Charge in the amount of 60%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 day before the start of the event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Charge in the amount of 80%</w:t>
            </w:r>
          </w:p>
        </w:tc>
      </w:tr>
      <w:tr w:rsidR="000812C5" w:rsidRPr="00EA1E90" w:rsidTr="00A07704">
        <w:trPr>
          <w:trHeight w:val="624"/>
          <w:jc w:val="center"/>
        </w:trPr>
        <w:tc>
          <w:tcPr>
            <w:tcW w:w="3906" w:type="dxa"/>
            <w:vAlign w:val="center"/>
          </w:tcPr>
          <w:p w:rsidR="000812C5" w:rsidRPr="00EA1E90" w:rsidRDefault="000812C5" w:rsidP="00A077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If the ordering party does not arrive at the reserved time</w:t>
            </w:r>
          </w:p>
        </w:tc>
        <w:tc>
          <w:tcPr>
            <w:tcW w:w="4753" w:type="dxa"/>
            <w:vAlign w:val="center"/>
          </w:tcPr>
          <w:p w:rsidR="000812C5" w:rsidRPr="00EA1E90" w:rsidRDefault="000812C5" w:rsidP="00A077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Charge in the amount of 100%</w:t>
            </w:r>
          </w:p>
        </w:tc>
      </w:tr>
    </w:tbl>
    <w:p w:rsidR="00EA1E90" w:rsidRPr="00EA1E90" w:rsidRDefault="00EA1E90" w:rsidP="00EA1E90">
      <w:pPr>
        <w:spacing w:after="120" w:line="25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br/>
        <w:t xml:space="preserve">All prices </w:t>
      </w:r>
      <w:proofErr w:type="gramStart"/>
      <w:r>
        <w:rPr>
          <w:rFonts w:ascii="Arial" w:hAnsi="Arial"/>
          <w:sz w:val="20"/>
        </w:rPr>
        <w:t>are presented</w:t>
      </w:r>
      <w:proofErr w:type="gramEnd"/>
      <w:r>
        <w:rPr>
          <w:rFonts w:ascii="Arial" w:hAnsi="Arial"/>
          <w:sz w:val="20"/>
        </w:rPr>
        <w:t xml:space="preserve"> including VAT. </w:t>
      </w:r>
      <w:r>
        <w:rPr>
          <w:rFonts w:ascii="Arial" w:hAnsi="Arial"/>
          <w:sz w:val="20"/>
        </w:rPr>
        <w:br/>
        <w:t>Any exceptions to the price list herein are subject to approval by the appropriate deputy of the Mayor of Zlín.</w:t>
      </w:r>
      <w:r>
        <w:rPr>
          <w:rFonts w:ascii="Arial" w:hAnsi="Arial"/>
          <w:sz w:val="20"/>
        </w:rPr>
        <w:br/>
        <w:t>Approved by the Zlín City Council on 25 September 2023 through its Resolution No. 64/18R/2023.</w:t>
      </w:r>
    </w:p>
    <w:sectPr w:rsidR="00EA1E90" w:rsidRPr="00EA1E90" w:rsidSect="005B54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62" w:rsidRDefault="00EB6A62" w:rsidP="007140DA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71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91443"/>
      <w:docPartObj>
        <w:docPartGallery w:val="Page Numbers (Bottom of Page)"/>
        <w:docPartUnique/>
      </w:docPartObj>
    </w:sdtPr>
    <w:sdtEndPr/>
    <w:sdtContent>
      <w:p w:rsidR="001E0B21" w:rsidRDefault="001E0B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E3">
          <w:rPr>
            <w:noProof/>
          </w:rPr>
          <w:t>2</w:t>
        </w:r>
        <w:r>
          <w:fldChar w:fldCharType="end"/>
        </w:r>
      </w:p>
    </w:sdtContent>
  </w:sdt>
  <w:p w:rsidR="007140DA" w:rsidRPr="007140DA" w:rsidRDefault="007140DA">
    <w:pPr>
      <w:pStyle w:val="Zpat"/>
    </w:pPr>
  </w:p>
  <w:p w:rsidR="00D84BDD" w:rsidRDefault="00D84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62" w:rsidRDefault="00EB6A62" w:rsidP="007140DA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71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5B54E3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8969" o:spid="_x0000_s2068" type="#_x0000_t75" style="position:absolute;margin-left:0;margin-top:0;width:596.25pt;height:843.45pt;z-index:-251657216;mso-position-horizontal:center;mso-position-horizontal-relative:margin;mso-position-vertical:center;mso-position-vertical-relative:margin" o:allowincell="f">
          <v:imagedata r:id="rId1" o:title="sablona_hladka"/>
          <w10:wrap anchorx="margin" anchory="margin"/>
        </v:shape>
      </w:pict>
    </w:r>
  </w:p>
  <w:p w:rsidR="00D84BDD" w:rsidRDefault="00D84B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5B54E3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8970" o:spid="_x0000_s2069" type="#_x0000_t75" style="position:absolute;margin-left:-71.4pt;margin-top:-84.4pt;width:596.25pt;height:843.45pt;z-index:-251656192;mso-position-horizontal-relative:margin;mso-position-vertical-relative:margin" o:allowincell="f">
          <v:imagedata r:id="rId1" o:title="sablona_hladka"/>
          <w10:wrap anchorx="margin" anchory="margin"/>
        </v:shape>
      </w:pict>
    </w:r>
  </w:p>
  <w:p w:rsidR="00D84BDD" w:rsidRDefault="00D84B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5B54E3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8968" o:spid="_x0000_s2067" type="#_x0000_t75" style="position:absolute;margin-left:0;margin-top:0;width:596.25pt;height:843.45pt;z-index:-251658240;mso-position-horizontal:center;mso-position-horizontal-relative:margin;mso-position-vertical:center;mso-position-vertical-relative:margin" o:allowincell="f">
          <v:imagedata r:id="rId1" o:title="sablona_hlad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AB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1302E0"/>
    <w:multiLevelType w:val="hybridMultilevel"/>
    <w:tmpl w:val="73C4BBCE"/>
    <w:lvl w:ilvl="0" w:tplc="64768C80">
      <w:start w:val="1"/>
      <w:numFmt w:val="decimal"/>
      <w:lvlText w:val="(%1)"/>
      <w:lvlJc w:val="left"/>
      <w:pPr>
        <w:ind w:left="42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051"/>
    <w:multiLevelType w:val="hybridMultilevel"/>
    <w:tmpl w:val="81E0EA58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0E7E"/>
    <w:multiLevelType w:val="hybridMultilevel"/>
    <w:tmpl w:val="24180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2E1C"/>
    <w:multiLevelType w:val="multilevel"/>
    <w:tmpl w:val="9EBC0F84"/>
    <w:lvl w:ilvl="0">
      <w:start w:val="1"/>
      <w:numFmt w:val="upperRoman"/>
      <w:suff w:val="nothing"/>
      <w:lvlText w:val="Část %1."/>
      <w:lvlJc w:val="left"/>
      <w:rPr>
        <w:rFonts w:cs="Times New Roman" w:hint="default"/>
      </w:rPr>
    </w:lvl>
    <w:lvl w:ilvl="1">
      <w:start w:val="1"/>
      <w:numFmt w:val="upperRoman"/>
      <w:suff w:val="nothing"/>
      <w:lvlText w:val="Hlava %2"/>
      <w:lvlJc w:val="left"/>
      <w:rPr>
        <w:rFonts w:cs="Times New Roman" w:hint="default"/>
        <w:i w:val="0"/>
      </w:rPr>
    </w:lvl>
    <w:lvl w:ilvl="2">
      <w:start w:val="1"/>
      <w:numFmt w:val="decimal"/>
      <w:lvlRestart w:val="0"/>
      <w:isLgl/>
      <w:suff w:val="nothing"/>
      <w:lvlText w:val="Článek %3"/>
      <w:lvlJc w:val="left"/>
      <w:rPr>
        <w:rFonts w:ascii="Arial" w:hAnsi="Arial" w:cs="Corbe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isLgl/>
      <w:suff w:val="space"/>
      <w:lvlText w:val="[%4.%5]"/>
      <w:lvlJc w:val="left"/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5" w15:restartNumberingAfterBreak="0">
    <w:nsid w:val="1F000952"/>
    <w:multiLevelType w:val="hybridMultilevel"/>
    <w:tmpl w:val="7FB48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20700"/>
    <w:multiLevelType w:val="hybridMultilevel"/>
    <w:tmpl w:val="81E0EA58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A376E"/>
    <w:multiLevelType w:val="hybridMultilevel"/>
    <w:tmpl w:val="24180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310E"/>
    <w:multiLevelType w:val="hybridMultilevel"/>
    <w:tmpl w:val="55144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8450A"/>
    <w:multiLevelType w:val="hybridMultilevel"/>
    <w:tmpl w:val="97C84126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4DEFBF6">
      <w:start w:val="1"/>
      <w:numFmt w:val="lowerLetter"/>
      <w:lvlText w:val="%2)"/>
      <w:lvlJc w:val="left"/>
      <w:pPr>
        <w:ind w:left="1905" w:hanging="8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52454"/>
    <w:multiLevelType w:val="hybridMultilevel"/>
    <w:tmpl w:val="1EB2E0BE"/>
    <w:lvl w:ilvl="0" w:tplc="04050017">
      <w:start w:val="1"/>
      <w:numFmt w:val="lowerLetter"/>
      <w:lvlText w:val="%1)"/>
      <w:lvlJc w:val="left"/>
      <w:pPr>
        <w:ind w:left="1831" w:hanging="360"/>
      </w:pPr>
    </w:lvl>
    <w:lvl w:ilvl="1" w:tplc="04050019">
      <w:start w:val="1"/>
      <w:numFmt w:val="lowerLetter"/>
      <w:lvlText w:val="%2."/>
      <w:lvlJc w:val="left"/>
      <w:pPr>
        <w:ind w:left="2551" w:hanging="360"/>
      </w:pPr>
    </w:lvl>
    <w:lvl w:ilvl="2" w:tplc="0405001B" w:tentative="1">
      <w:start w:val="1"/>
      <w:numFmt w:val="lowerRoman"/>
      <w:lvlText w:val="%3."/>
      <w:lvlJc w:val="right"/>
      <w:pPr>
        <w:ind w:left="3271" w:hanging="180"/>
      </w:pPr>
    </w:lvl>
    <w:lvl w:ilvl="3" w:tplc="0405000F" w:tentative="1">
      <w:start w:val="1"/>
      <w:numFmt w:val="decimal"/>
      <w:lvlText w:val="%4."/>
      <w:lvlJc w:val="left"/>
      <w:pPr>
        <w:ind w:left="3991" w:hanging="360"/>
      </w:pPr>
    </w:lvl>
    <w:lvl w:ilvl="4" w:tplc="04050019" w:tentative="1">
      <w:start w:val="1"/>
      <w:numFmt w:val="lowerLetter"/>
      <w:lvlText w:val="%5."/>
      <w:lvlJc w:val="left"/>
      <w:pPr>
        <w:ind w:left="4711" w:hanging="360"/>
      </w:pPr>
    </w:lvl>
    <w:lvl w:ilvl="5" w:tplc="0405001B" w:tentative="1">
      <w:start w:val="1"/>
      <w:numFmt w:val="lowerRoman"/>
      <w:lvlText w:val="%6."/>
      <w:lvlJc w:val="right"/>
      <w:pPr>
        <w:ind w:left="5431" w:hanging="180"/>
      </w:pPr>
    </w:lvl>
    <w:lvl w:ilvl="6" w:tplc="0405000F" w:tentative="1">
      <w:start w:val="1"/>
      <w:numFmt w:val="decimal"/>
      <w:lvlText w:val="%7."/>
      <w:lvlJc w:val="left"/>
      <w:pPr>
        <w:ind w:left="6151" w:hanging="360"/>
      </w:pPr>
    </w:lvl>
    <w:lvl w:ilvl="7" w:tplc="04050019" w:tentative="1">
      <w:start w:val="1"/>
      <w:numFmt w:val="lowerLetter"/>
      <w:lvlText w:val="%8."/>
      <w:lvlJc w:val="left"/>
      <w:pPr>
        <w:ind w:left="6871" w:hanging="360"/>
      </w:pPr>
    </w:lvl>
    <w:lvl w:ilvl="8" w:tplc="040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1" w15:restartNumberingAfterBreak="0">
    <w:nsid w:val="4E8348FC"/>
    <w:multiLevelType w:val="hybridMultilevel"/>
    <w:tmpl w:val="81E0EA58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B0CFC"/>
    <w:multiLevelType w:val="hybridMultilevel"/>
    <w:tmpl w:val="9A80A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58C4"/>
    <w:multiLevelType w:val="hybridMultilevel"/>
    <w:tmpl w:val="97C84126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4DEFBF6">
      <w:start w:val="1"/>
      <w:numFmt w:val="lowerLetter"/>
      <w:lvlText w:val="%2)"/>
      <w:lvlJc w:val="left"/>
      <w:pPr>
        <w:ind w:left="1905" w:hanging="8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13ADF"/>
    <w:multiLevelType w:val="hybridMultilevel"/>
    <w:tmpl w:val="97C84126"/>
    <w:lvl w:ilvl="0" w:tplc="11A8A5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4DEFBF6">
      <w:start w:val="1"/>
      <w:numFmt w:val="lowerLetter"/>
      <w:lvlText w:val="%2)"/>
      <w:lvlJc w:val="left"/>
      <w:pPr>
        <w:ind w:left="1905" w:hanging="8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435A2C"/>
    <w:multiLevelType w:val="hybridMultilevel"/>
    <w:tmpl w:val="539E4FE2"/>
    <w:lvl w:ilvl="0" w:tplc="B4BE82CC">
      <w:start w:val="1"/>
      <w:numFmt w:val="decimal"/>
      <w:pStyle w:val="Ploha"/>
      <w:lvlText w:val="příloha č. %1:"/>
      <w:lvlJc w:val="left"/>
      <w:pPr>
        <w:tabs>
          <w:tab w:val="num" w:pos="1721"/>
        </w:tabs>
        <w:ind w:left="1721" w:hanging="1361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6" w15:restartNumberingAfterBreak="0">
    <w:nsid w:val="652E5666"/>
    <w:multiLevelType w:val="hybridMultilevel"/>
    <w:tmpl w:val="C9EE6164"/>
    <w:lvl w:ilvl="0" w:tplc="7C9E38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6CC4"/>
    <w:multiLevelType w:val="hybridMultilevel"/>
    <w:tmpl w:val="B4BC351E"/>
    <w:lvl w:ilvl="0" w:tplc="38EE6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3778"/>
    <w:multiLevelType w:val="hybridMultilevel"/>
    <w:tmpl w:val="06F64D44"/>
    <w:lvl w:ilvl="0" w:tplc="33FEEA0A">
      <w:start w:val="1"/>
      <w:numFmt w:val="decimal"/>
      <w:lvlText w:val="(%1)"/>
      <w:lvlJc w:val="left"/>
      <w:pPr>
        <w:ind w:left="42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62571"/>
    <w:multiLevelType w:val="hybridMultilevel"/>
    <w:tmpl w:val="14B8423E"/>
    <w:lvl w:ilvl="0" w:tplc="04050017">
      <w:start w:val="1"/>
      <w:numFmt w:val="lowerLetter"/>
      <w:lvlText w:val="%1)"/>
      <w:lvlJc w:val="left"/>
      <w:pPr>
        <w:ind w:left="183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B9066E"/>
    <w:multiLevelType w:val="hybridMultilevel"/>
    <w:tmpl w:val="2CD8DCA8"/>
    <w:lvl w:ilvl="0" w:tplc="BD3AD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B32CC"/>
    <w:multiLevelType w:val="hybridMultilevel"/>
    <w:tmpl w:val="1004A462"/>
    <w:lvl w:ilvl="0" w:tplc="04050017">
      <w:start w:val="1"/>
      <w:numFmt w:val="lowerLetter"/>
      <w:lvlText w:val="%1)"/>
      <w:lvlJc w:val="left"/>
      <w:pPr>
        <w:ind w:left="1111" w:hanging="360"/>
      </w:pPr>
    </w:lvl>
    <w:lvl w:ilvl="1" w:tplc="04050017">
      <w:start w:val="1"/>
      <w:numFmt w:val="lowerLetter"/>
      <w:lvlText w:val="%2)"/>
      <w:lvlJc w:val="left"/>
      <w:pPr>
        <w:ind w:left="1831" w:hanging="360"/>
      </w:pPr>
    </w:lvl>
    <w:lvl w:ilvl="2" w:tplc="0405001B" w:tentative="1">
      <w:start w:val="1"/>
      <w:numFmt w:val="lowerRoman"/>
      <w:lvlText w:val="%3."/>
      <w:lvlJc w:val="right"/>
      <w:pPr>
        <w:ind w:left="2551" w:hanging="180"/>
      </w:pPr>
    </w:lvl>
    <w:lvl w:ilvl="3" w:tplc="0405000F" w:tentative="1">
      <w:start w:val="1"/>
      <w:numFmt w:val="decimal"/>
      <w:lvlText w:val="%4."/>
      <w:lvlJc w:val="left"/>
      <w:pPr>
        <w:ind w:left="3271" w:hanging="360"/>
      </w:pPr>
    </w:lvl>
    <w:lvl w:ilvl="4" w:tplc="04050019" w:tentative="1">
      <w:start w:val="1"/>
      <w:numFmt w:val="lowerLetter"/>
      <w:lvlText w:val="%5."/>
      <w:lvlJc w:val="left"/>
      <w:pPr>
        <w:ind w:left="3991" w:hanging="360"/>
      </w:pPr>
    </w:lvl>
    <w:lvl w:ilvl="5" w:tplc="0405001B" w:tentative="1">
      <w:start w:val="1"/>
      <w:numFmt w:val="lowerRoman"/>
      <w:lvlText w:val="%6."/>
      <w:lvlJc w:val="right"/>
      <w:pPr>
        <w:ind w:left="4711" w:hanging="180"/>
      </w:pPr>
    </w:lvl>
    <w:lvl w:ilvl="6" w:tplc="0405000F" w:tentative="1">
      <w:start w:val="1"/>
      <w:numFmt w:val="decimal"/>
      <w:lvlText w:val="%7."/>
      <w:lvlJc w:val="left"/>
      <w:pPr>
        <w:ind w:left="5431" w:hanging="360"/>
      </w:pPr>
    </w:lvl>
    <w:lvl w:ilvl="7" w:tplc="04050019" w:tentative="1">
      <w:start w:val="1"/>
      <w:numFmt w:val="lowerLetter"/>
      <w:lvlText w:val="%8."/>
      <w:lvlJc w:val="left"/>
      <w:pPr>
        <w:ind w:left="6151" w:hanging="360"/>
      </w:pPr>
    </w:lvl>
    <w:lvl w:ilvl="8" w:tplc="0405001B" w:tentative="1">
      <w:start w:val="1"/>
      <w:numFmt w:val="lowerRoman"/>
      <w:lvlText w:val="%9."/>
      <w:lvlJc w:val="right"/>
      <w:pPr>
        <w:ind w:left="6871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14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DA"/>
    <w:rsid w:val="000408C3"/>
    <w:rsid w:val="000577A5"/>
    <w:rsid w:val="000812C5"/>
    <w:rsid w:val="00113CD3"/>
    <w:rsid w:val="001E0B21"/>
    <w:rsid w:val="0026137C"/>
    <w:rsid w:val="00280B4E"/>
    <w:rsid w:val="0030297C"/>
    <w:rsid w:val="00363FCC"/>
    <w:rsid w:val="003A4F00"/>
    <w:rsid w:val="00426C08"/>
    <w:rsid w:val="00476014"/>
    <w:rsid w:val="004827ED"/>
    <w:rsid w:val="005B54E3"/>
    <w:rsid w:val="006B1883"/>
    <w:rsid w:val="006B366D"/>
    <w:rsid w:val="006F06AB"/>
    <w:rsid w:val="007140DA"/>
    <w:rsid w:val="007224A8"/>
    <w:rsid w:val="007B03A3"/>
    <w:rsid w:val="007B10E4"/>
    <w:rsid w:val="00814887"/>
    <w:rsid w:val="008C7455"/>
    <w:rsid w:val="008D7BD6"/>
    <w:rsid w:val="00A24103"/>
    <w:rsid w:val="00A812B7"/>
    <w:rsid w:val="00A90B7F"/>
    <w:rsid w:val="00CB2144"/>
    <w:rsid w:val="00CE33A4"/>
    <w:rsid w:val="00D56450"/>
    <w:rsid w:val="00D84BDD"/>
    <w:rsid w:val="00E10641"/>
    <w:rsid w:val="00EA1E90"/>
    <w:rsid w:val="00EB6A62"/>
    <w:rsid w:val="00FA3804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3E2A681"/>
  <w15:chartTrackingRefBased/>
  <w15:docId w15:val="{4B8E40F2-610C-4EA9-B7C4-E844E77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0DA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A90B7F"/>
    <w:pPr>
      <w:keepNext/>
      <w:keepLines/>
      <w:spacing w:before="240" w:after="0"/>
      <w:ind w:left="432" w:hanging="432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90B7F"/>
    <w:pPr>
      <w:keepNext/>
      <w:keepLines/>
      <w:spacing w:before="40" w:after="0"/>
      <w:ind w:left="576" w:hanging="576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90B7F"/>
    <w:pPr>
      <w:keepNext/>
      <w:keepLines/>
      <w:spacing w:before="40" w:after="0"/>
      <w:ind w:left="720" w:hanging="72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B7F"/>
    <w:pPr>
      <w:keepNext/>
      <w:keepLines/>
      <w:numPr>
        <w:ilvl w:val="3"/>
        <w:numId w:val="5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0B7F"/>
    <w:pPr>
      <w:keepNext/>
      <w:keepLines/>
      <w:numPr>
        <w:ilvl w:val="4"/>
        <w:numId w:val="5"/>
      </w:numPr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B7F"/>
    <w:pPr>
      <w:keepNext/>
      <w:keepLines/>
      <w:numPr>
        <w:ilvl w:val="5"/>
        <w:numId w:val="5"/>
      </w:numPr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B7F"/>
    <w:pPr>
      <w:keepNext/>
      <w:keepLines/>
      <w:numPr>
        <w:ilvl w:val="6"/>
        <w:numId w:val="5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B7F"/>
    <w:pPr>
      <w:keepNext/>
      <w:keepLines/>
      <w:numPr>
        <w:ilvl w:val="7"/>
        <w:numId w:val="5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B7F"/>
    <w:pPr>
      <w:keepNext/>
      <w:keepLines/>
      <w:numPr>
        <w:ilvl w:val="8"/>
        <w:numId w:val="5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0DA"/>
  </w:style>
  <w:style w:type="paragraph" w:styleId="Zpat">
    <w:name w:val="footer"/>
    <w:basedOn w:val="Normln"/>
    <w:link w:val="ZpatChar"/>
    <w:uiPriority w:val="99"/>
    <w:unhideWhenUsed/>
    <w:rsid w:val="0071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0DA"/>
  </w:style>
  <w:style w:type="paragraph" w:styleId="Textbubliny">
    <w:name w:val="Balloon Text"/>
    <w:basedOn w:val="Normln"/>
    <w:link w:val="TextbublinyChar"/>
    <w:uiPriority w:val="99"/>
    <w:semiHidden/>
    <w:unhideWhenUsed/>
    <w:rsid w:val="0011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D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4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9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90B7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90B7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90B7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B7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">
    <w:name w:val="Nadpis 5 Char"/>
    <w:basedOn w:val="Standardnpsmoodstavce"/>
    <w:link w:val="Nadpis5"/>
    <w:uiPriority w:val="9"/>
    <w:rsid w:val="00A90B7F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B7F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B7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B7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B7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odstavec">
    <w:name w:val="odstavec"/>
    <w:basedOn w:val="Normln"/>
    <w:link w:val="odstavecCharChar"/>
    <w:rsid w:val="00A90B7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A90B7F"/>
    <w:pPr>
      <w:tabs>
        <w:tab w:val="right" w:leader="dot" w:pos="9062"/>
      </w:tabs>
      <w:spacing w:after="6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uiPriority w:val="99"/>
    <w:rsid w:val="00A90B7F"/>
    <w:rPr>
      <w:rFonts w:cs="Times New Roman"/>
      <w:color w:val="0000FF"/>
      <w:u w:val="single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rsid w:val="00A90B7F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rsid w:val="00A90B7F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uiPriority w:val="99"/>
    <w:rsid w:val="00A90B7F"/>
    <w:rPr>
      <w:rFonts w:cs="Times New Roman"/>
      <w:sz w:val="22"/>
      <w:vertAlign w:val="superscript"/>
    </w:rPr>
  </w:style>
  <w:style w:type="paragraph" w:customStyle="1" w:styleId="Nadpis1-nedoobsahu">
    <w:name w:val="Nadpis 1 - ne do obsahu"/>
    <w:basedOn w:val="Nadpis1"/>
    <w:rsid w:val="00A90B7F"/>
    <w:pPr>
      <w:keepLines w:val="0"/>
      <w:spacing w:after="120" w:line="240" w:lineRule="auto"/>
      <w:ind w:left="0" w:firstLine="0"/>
    </w:pPr>
    <w:rPr>
      <w:rFonts w:ascii="Arial" w:hAnsi="Arial" w:cs="Arial"/>
      <w:b/>
      <w:bCs/>
      <w:caps/>
      <w:color w:val="auto"/>
      <w:kern w:val="32"/>
      <w:sz w:val="22"/>
      <w:lang w:eastAsia="cs-CZ"/>
    </w:rPr>
  </w:style>
  <w:style w:type="paragraph" w:customStyle="1" w:styleId="Ploha">
    <w:name w:val="Příloha č."/>
    <w:basedOn w:val="Titulek"/>
    <w:rsid w:val="00A90B7F"/>
    <w:pPr>
      <w:numPr>
        <w:numId w:val="7"/>
      </w:numPr>
      <w:tabs>
        <w:tab w:val="clear" w:pos="1721"/>
        <w:tab w:val="num" w:pos="360"/>
      </w:tabs>
      <w:spacing w:after="120"/>
      <w:ind w:left="428" w:right="340" w:hanging="428"/>
    </w:pPr>
    <w:rPr>
      <w:rFonts w:ascii="Arial" w:eastAsia="Times New Roman" w:hAnsi="Arial" w:cs="Times New Roman"/>
      <w:bCs/>
      <w:i w:val="0"/>
      <w:iCs w:val="0"/>
      <w:color w:val="auto"/>
      <w:sz w:val="22"/>
      <w:szCs w:val="20"/>
      <w:lang w:eastAsia="cs-CZ"/>
    </w:rPr>
  </w:style>
  <w:style w:type="paragraph" w:customStyle="1" w:styleId="odrky2">
    <w:name w:val="odrážky 2"/>
    <w:basedOn w:val="Normln"/>
    <w:rsid w:val="00A90B7F"/>
    <w:pPr>
      <w:tabs>
        <w:tab w:val="num" w:pos="1021"/>
      </w:tabs>
      <w:spacing w:after="120" w:line="240" w:lineRule="auto"/>
      <w:ind w:left="1021" w:hanging="341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CharChar">
    <w:name w:val="odstavec Char Char"/>
    <w:link w:val="odstavec"/>
    <w:locked/>
    <w:rsid w:val="00A90B7F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A90B7F"/>
    <w:rPr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0B7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C1EF-0824-44BD-BBCC-EBF99CDE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Jakubková Silvie</dc:creator>
  <cp:keywords/>
  <dc:description/>
  <cp:lastModifiedBy>Hladká Magdaléna</cp:lastModifiedBy>
  <cp:revision>5</cp:revision>
  <cp:lastPrinted>2023-09-18T09:56:00Z</cp:lastPrinted>
  <dcterms:created xsi:type="dcterms:W3CDTF">2023-10-17T10:50:00Z</dcterms:created>
  <dcterms:modified xsi:type="dcterms:W3CDTF">2024-09-03T10:15:00Z</dcterms:modified>
</cp:coreProperties>
</file>